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C37" w:rsidRPr="003E7C37" w:rsidRDefault="003E7C37" w:rsidP="003E7C37">
      <w:pPr>
        <w:keepNext/>
        <w:spacing w:before="240" w:after="60"/>
        <w:outlineLvl w:val="0"/>
        <w:rPr>
          <w:rFonts w:ascii="Cambria" w:eastAsia="Times New Roman" w:hAnsi="Cambria"/>
          <w:b/>
          <w:bCs/>
          <w:color w:val="4F81BD"/>
          <w:kern w:val="32"/>
          <w:sz w:val="32"/>
          <w:szCs w:val="32"/>
          <w:lang w:val="en-US"/>
        </w:rPr>
      </w:pPr>
      <w:bookmarkStart w:id="0" w:name="_Toc419471433"/>
      <w:r w:rsidRPr="003E7C37">
        <w:rPr>
          <w:rFonts w:ascii="Cambria" w:eastAsia="Times New Roman" w:hAnsi="Cambria"/>
          <w:b/>
          <w:bCs/>
          <w:color w:val="4F81BD"/>
          <w:kern w:val="32"/>
          <w:sz w:val="32"/>
          <w:szCs w:val="32"/>
          <w:lang w:val="en-US"/>
        </w:rPr>
        <w:t>Indicators 2.5.1 and 2.5.2</w:t>
      </w:r>
      <w:bookmarkEnd w:id="0"/>
      <w:r w:rsidRPr="003E7C37">
        <w:rPr>
          <w:rFonts w:ascii="Cambria" w:eastAsia="Times New Roman" w:hAnsi="Cambria"/>
          <w:b/>
          <w:bCs/>
          <w:color w:val="4F81BD"/>
          <w:kern w:val="32"/>
          <w:sz w:val="32"/>
          <w:szCs w:val="32"/>
          <w:lang w:val="en-US"/>
        </w:rPr>
        <w:t xml:space="preserve"> </w:t>
      </w:r>
    </w:p>
    <w:p w:rsidR="003E7C37" w:rsidRPr="003E7C37" w:rsidRDefault="003E7C37" w:rsidP="003E7C37">
      <w:pPr>
        <w:rPr>
          <w:rFonts w:ascii="Tahoma" w:eastAsia="Times New Roman" w:hAnsi="Tahoma" w:cs="Tahoma"/>
          <w:bCs/>
          <w:sz w:val="20"/>
          <w:szCs w:val="20"/>
          <w:lang w:val="en-US"/>
        </w:rPr>
      </w:pPr>
      <w:r w:rsidRPr="003E7C37">
        <w:rPr>
          <w:rFonts w:ascii="Tahoma" w:eastAsia="Times New Roman" w:hAnsi="Tahoma" w:cs="Tahoma"/>
          <w:bCs/>
          <w:sz w:val="20"/>
          <w:szCs w:val="20"/>
          <w:lang w:val="en-US"/>
        </w:rPr>
        <w:t>Currently, the two indicators for Target 2.5 only measure ex-situ conservation. The second half of this Target relates to Access and Benefit sharing (ABS). It is therefore proposed that the current two indicators be rolled into one, and an alternative indicator defined.</w:t>
      </w:r>
    </w:p>
    <w:p w:rsidR="003E7C37" w:rsidRPr="003E7C37" w:rsidRDefault="003E7C37" w:rsidP="003E7C37">
      <w:pPr>
        <w:rPr>
          <w:rFonts w:ascii="Tahoma" w:eastAsia="Times New Roman" w:hAnsi="Tahoma" w:cs="Tahoma"/>
          <w:bCs/>
          <w:sz w:val="20"/>
          <w:szCs w:val="20"/>
          <w:lang w:val="en-US"/>
        </w:rPr>
      </w:pPr>
      <w:r w:rsidRPr="003E7C37">
        <w:rPr>
          <w:rFonts w:ascii="Tahoma" w:eastAsia="Times New Roman" w:hAnsi="Tahoma" w:cs="Tahoma"/>
          <w:bCs/>
          <w:sz w:val="20"/>
          <w:szCs w:val="20"/>
          <w:lang w:val="en-US"/>
        </w:rPr>
        <w:t>Therefore, the two new indicators would be:</w:t>
      </w:r>
    </w:p>
    <w:p w:rsidR="003E7C37" w:rsidRPr="003E7C37" w:rsidRDefault="003E7C37" w:rsidP="003E7C37">
      <w:pPr>
        <w:rPr>
          <w:rFonts w:ascii="Tahoma" w:eastAsia="Times New Roman" w:hAnsi="Tahoma" w:cs="Tahoma"/>
          <w:bCs/>
          <w:sz w:val="20"/>
          <w:szCs w:val="20"/>
          <w:lang w:val="en-US"/>
        </w:rPr>
      </w:pPr>
    </w:p>
    <w:p w:rsidR="003E7C37" w:rsidRPr="003E7C37" w:rsidRDefault="003E7C37" w:rsidP="003E7C37">
      <w:pPr>
        <w:rPr>
          <w:rFonts w:eastAsia="Calibri"/>
          <w:color w:val="auto"/>
          <w:lang w:val="en-US"/>
        </w:rPr>
      </w:pPr>
      <w:r w:rsidRPr="003E7C37">
        <w:rPr>
          <w:rFonts w:eastAsia="Calibri"/>
          <w:b/>
          <w:color w:val="auto"/>
          <w:lang w:val="en-US"/>
        </w:rPr>
        <w:t>Indicator 2.5.1 to read</w:t>
      </w:r>
      <w:r w:rsidRPr="003E7C37">
        <w:rPr>
          <w:rFonts w:eastAsia="Calibri"/>
          <w:color w:val="auto"/>
          <w:lang w:val="en-US"/>
        </w:rPr>
        <w:t xml:space="preserve">:  </w:t>
      </w:r>
    </w:p>
    <w:p w:rsidR="003E7C37" w:rsidRPr="003E7C37" w:rsidRDefault="003E7C37" w:rsidP="003E7C37">
      <w:pPr>
        <w:rPr>
          <w:rFonts w:eastAsia="Calibri"/>
          <w:i/>
          <w:color w:val="auto"/>
          <w:lang w:val="en-US"/>
        </w:rPr>
      </w:pPr>
      <w:r w:rsidRPr="003E7C37">
        <w:rPr>
          <w:rFonts w:eastAsia="Calibri"/>
          <w:i/>
          <w:color w:val="auto"/>
          <w:lang w:val="en-US"/>
        </w:rPr>
        <w:t>Number/percentage of local crops and breeds, and their wild relatives, classified as being at-risk, not-at-risk, and unknown-levels of risk of extinction</w:t>
      </w:r>
    </w:p>
    <w:p w:rsidR="003E7C37" w:rsidRPr="003E7C37" w:rsidRDefault="003E7C37" w:rsidP="003E7C37">
      <w:pPr>
        <w:rPr>
          <w:rFonts w:eastAsia="Calibri"/>
          <w:i/>
          <w:color w:val="auto"/>
          <w:lang w:val="en-US"/>
        </w:rPr>
      </w:pPr>
    </w:p>
    <w:p w:rsidR="003E7C37" w:rsidRPr="003E7C37" w:rsidRDefault="003E7C37" w:rsidP="003E7C37">
      <w:pPr>
        <w:rPr>
          <w:rFonts w:ascii="Tahoma" w:eastAsia="Times New Roman" w:hAnsi="Tahoma" w:cs="Tahoma"/>
          <w:b/>
          <w:bCs/>
          <w:sz w:val="20"/>
          <w:szCs w:val="20"/>
          <w:lang w:val="en-US"/>
        </w:rPr>
      </w:pPr>
      <w:r w:rsidRPr="003E7C37">
        <w:rPr>
          <w:rFonts w:ascii="Tahoma" w:eastAsia="Times New Roman" w:hAnsi="Tahoma" w:cs="Tahoma"/>
          <w:b/>
          <w:bCs/>
          <w:sz w:val="20"/>
          <w:szCs w:val="20"/>
          <w:lang w:val="en-US"/>
        </w:rPr>
        <w:t xml:space="preserve">The data and data providers for the new Indicator 2.5.1 will combine those already listed. </w:t>
      </w:r>
    </w:p>
    <w:p w:rsidR="003E7C37" w:rsidRPr="003E7C37" w:rsidRDefault="003E7C37" w:rsidP="003E7C37">
      <w:pPr>
        <w:rPr>
          <w:rFonts w:eastAsia="Calibri"/>
          <w:b/>
          <w:color w:val="auto"/>
          <w:lang w:val="en-US"/>
        </w:rPr>
      </w:pPr>
    </w:p>
    <w:p w:rsidR="003E7C37" w:rsidRPr="003E7C37" w:rsidRDefault="003E7C37" w:rsidP="003E7C37">
      <w:pPr>
        <w:rPr>
          <w:rFonts w:eastAsia="Calibri"/>
          <w:b/>
          <w:color w:val="auto"/>
          <w:lang w:val="en-US"/>
        </w:rPr>
      </w:pPr>
      <w:r w:rsidRPr="003E7C37">
        <w:rPr>
          <w:rFonts w:eastAsia="Calibri"/>
          <w:b/>
          <w:color w:val="auto"/>
          <w:lang w:val="en-US"/>
        </w:rPr>
        <w:t>Indicator 2.5.2 to read:</w:t>
      </w:r>
    </w:p>
    <w:p w:rsidR="003E7C37" w:rsidRPr="003E7C37" w:rsidRDefault="003E7C37" w:rsidP="003E7C37">
      <w:pPr>
        <w:rPr>
          <w:rFonts w:eastAsia="Calibri"/>
          <w:i/>
          <w:color w:val="auto"/>
          <w:lang w:val="en-US"/>
        </w:rPr>
      </w:pPr>
      <w:r w:rsidRPr="003E7C37">
        <w:rPr>
          <w:rFonts w:eastAsia="Calibri"/>
          <w:i/>
          <w:color w:val="auto"/>
          <w:lang w:val="en-US"/>
        </w:rPr>
        <w:t>Number of permits or their equivalents made available to the Access and Benefit-sharing Clearinghouse established under the Nagoya Protocol and number of Standard Material Transfer Agreements, as communicated to the Governing Body of the International Treaty</w:t>
      </w:r>
    </w:p>
    <w:p w:rsidR="003E7C37" w:rsidRPr="003E7C37" w:rsidRDefault="003E7C37" w:rsidP="003E7C37">
      <w:pPr>
        <w:rPr>
          <w:rFonts w:eastAsia="Calibri"/>
          <w:i/>
          <w:color w:val="auto"/>
          <w:lang w:val="en-US"/>
        </w:rPr>
      </w:pPr>
    </w:p>
    <w:p w:rsidR="003E7C37" w:rsidRPr="003E7C37" w:rsidRDefault="003E7C37" w:rsidP="003E7C37">
      <w:pPr>
        <w:rPr>
          <w:rFonts w:eastAsia="Calibri"/>
          <w:b/>
          <w:color w:val="auto"/>
          <w:u w:val="single"/>
          <w:lang w:val="en-US"/>
        </w:rPr>
      </w:pPr>
      <w:r w:rsidRPr="003E7C37">
        <w:rPr>
          <w:rFonts w:eastAsia="Calibri"/>
          <w:b/>
          <w:color w:val="auto"/>
          <w:sz w:val="22"/>
          <w:szCs w:val="22"/>
          <w:u w:val="single"/>
          <w:lang w:val="en-US"/>
        </w:rPr>
        <w:t>Rationale</w:t>
      </w:r>
      <w:r w:rsidRPr="003E7C37">
        <w:rPr>
          <w:rFonts w:eastAsia="Calibri"/>
          <w:b/>
          <w:color w:val="auto"/>
          <w:u w:val="single"/>
          <w:lang w:val="en-US"/>
        </w:rPr>
        <w:t xml:space="preserve"> for new indicator 2.5.2</w:t>
      </w:r>
    </w:p>
    <w:p w:rsidR="003E7C37" w:rsidRPr="003E7C37" w:rsidRDefault="003E7C37" w:rsidP="003E7C37">
      <w:pPr>
        <w:rPr>
          <w:rFonts w:eastAsia="Calibri"/>
          <w:color w:val="auto"/>
          <w:lang w:val="en-US"/>
        </w:rPr>
      </w:pPr>
    </w:p>
    <w:p w:rsidR="003E7C37" w:rsidRPr="003E7C37" w:rsidRDefault="003E7C37" w:rsidP="003E7C37">
      <w:pPr>
        <w:rPr>
          <w:rFonts w:ascii="Tahoma" w:eastAsia="Times New Roman" w:hAnsi="Tahoma" w:cs="Tahoma"/>
          <w:bCs/>
          <w:sz w:val="20"/>
          <w:szCs w:val="20"/>
          <w:lang w:val="en-US"/>
        </w:rPr>
      </w:pPr>
      <w:r w:rsidRPr="003E7C37">
        <w:rPr>
          <w:rFonts w:ascii="Tahoma" w:eastAsia="Times New Roman" w:hAnsi="Tahoma" w:cs="Tahoma"/>
          <w:bCs/>
          <w:sz w:val="20"/>
          <w:szCs w:val="20"/>
          <w:lang w:val="en-US"/>
        </w:rPr>
        <w:t>Parties to the Nagoya Protocol on Access to Genetic Resources and the Fair and Equitable Sharing of Benefits Arising from their Utilization to the Convention on Biological Diversity (Nagoya Protocol) that subject access to genetic resources to prior informed consent are obliged under Article 6 (3</w:t>
      </w:r>
      <w:proofErr w:type="gramStart"/>
      <w:r w:rsidRPr="003E7C37">
        <w:rPr>
          <w:rFonts w:ascii="Tahoma" w:eastAsia="Times New Roman" w:hAnsi="Tahoma" w:cs="Tahoma"/>
          <w:bCs/>
          <w:sz w:val="20"/>
          <w:szCs w:val="20"/>
          <w:lang w:val="en-US"/>
        </w:rPr>
        <w:t>)e</w:t>
      </w:r>
      <w:proofErr w:type="gramEnd"/>
      <w:r w:rsidRPr="003E7C37">
        <w:rPr>
          <w:rFonts w:ascii="Tahoma" w:eastAsia="Times New Roman" w:hAnsi="Tahoma" w:cs="Tahoma"/>
          <w:bCs/>
          <w:sz w:val="20"/>
          <w:szCs w:val="20"/>
          <w:lang w:val="en-US"/>
        </w:rPr>
        <w:t xml:space="preserve"> of the Nagoya Protocol to issue a “permit or its equivalent as evidence of the decision to grant prior informed consent and of the establishment of mutually agreed terms.” The ABS Clearinghouse will make permits available on-line: </w:t>
      </w:r>
      <w:hyperlink r:id="rId6" w:history="1">
        <w:r w:rsidRPr="003E7C37">
          <w:rPr>
            <w:rFonts w:ascii="Tahoma" w:eastAsia="Times New Roman" w:hAnsi="Tahoma" w:cs="Tahoma"/>
            <w:bCs/>
            <w:sz w:val="20"/>
            <w:szCs w:val="20"/>
            <w:lang w:val="en-US"/>
          </w:rPr>
          <w:t>https://absch.cbd.int/</w:t>
        </w:r>
      </w:hyperlink>
      <w:r w:rsidRPr="003E7C37">
        <w:rPr>
          <w:rFonts w:ascii="Tahoma" w:eastAsia="Times New Roman" w:hAnsi="Tahoma" w:cs="Tahoma"/>
          <w:bCs/>
          <w:sz w:val="20"/>
          <w:szCs w:val="20"/>
          <w:lang w:val="en-US"/>
        </w:rPr>
        <w:t>.</w:t>
      </w:r>
    </w:p>
    <w:p w:rsidR="003E7C37" w:rsidRPr="003E7C37" w:rsidRDefault="003E7C37" w:rsidP="003E7C37">
      <w:pPr>
        <w:rPr>
          <w:rFonts w:ascii="Tahoma" w:eastAsia="Times New Roman" w:hAnsi="Tahoma" w:cs="Tahoma"/>
          <w:bCs/>
          <w:sz w:val="20"/>
          <w:szCs w:val="20"/>
          <w:lang w:val="en-US"/>
        </w:rPr>
      </w:pPr>
    </w:p>
    <w:p w:rsidR="003E7C37" w:rsidRPr="003E7C37" w:rsidRDefault="003E7C37" w:rsidP="003E7C37">
      <w:pPr>
        <w:rPr>
          <w:rFonts w:ascii="Tahoma" w:eastAsia="Times New Roman" w:hAnsi="Tahoma" w:cs="Tahoma"/>
          <w:bCs/>
          <w:sz w:val="20"/>
          <w:szCs w:val="20"/>
          <w:lang w:val="en-US"/>
        </w:rPr>
      </w:pPr>
      <w:r w:rsidRPr="003E7C37">
        <w:rPr>
          <w:rFonts w:ascii="Tahoma" w:eastAsia="Times New Roman" w:hAnsi="Tahoma" w:cs="Tahoma"/>
          <w:bCs/>
          <w:sz w:val="20"/>
          <w:szCs w:val="20"/>
          <w:lang w:val="en-US"/>
        </w:rPr>
        <w:t>The Standard Material Transfer Agreement (SMTA) is a mandatory contract that Parties to the International Treaty on Plant Genetic Resources for Food and Agriculture (International Treaty) have agreed to use whenever plant genetic resources falling under the Treaty’s Multilateral System of Access and Benefit-sharing are made available. The SMTA defines the conditions of use of the plant genetic resources as well as the benefit-sharing conditions. According to the SMTA providers shall inform the Governing Body about the Standard Material Transfer Agreements entered into. In addition, recipients who transfer resources received under a SMTA to third parties shall do so under the terms and conditions of the SMTA and shall notify the Governing Body. SMTAs are stored in the Data Store of the International Treaty. As of 1 September 2014, the Data Store has recorded 21, 701 SMTAs from providers located in 16 countries, distributing material to recipients based in 155 countries. (</w:t>
      </w:r>
      <w:hyperlink r:id="rId7" w:history="1">
        <w:r w:rsidRPr="003E7C37">
          <w:rPr>
            <w:rFonts w:ascii="Tahoma" w:eastAsia="Times New Roman" w:hAnsi="Tahoma" w:cs="Tahoma"/>
            <w:bCs/>
            <w:sz w:val="20"/>
            <w:szCs w:val="20"/>
            <w:lang w:val="en-US"/>
          </w:rPr>
          <w:t>http://www.planttreaty.org/sites/default/files/IT_OWG-EFMLS-2_14_Inf3_en.pdf</w:t>
        </w:r>
      </w:hyperlink>
      <w:r w:rsidRPr="003E7C37">
        <w:rPr>
          <w:rFonts w:ascii="Tahoma" w:eastAsia="Times New Roman" w:hAnsi="Tahoma" w:cs="Tahoma"/>
          <w:bCs/>
          <w:sz w:val="20"/>
          <w:szCs w:val="20"/>
          <w:lang w:val="en-US"/>
        </w:rPr>
        <w:t>).</w:t>
      </w:r>
    </w:p>
    <w:p w:rsidR="003E7C37" w:rsidRPr="003E7C37" w:rsidRDefault="003E7C37" w:rsidP="003E7C37">
      <w:pPr>
        <w:rPr>
          <w:rFonts w:ascii="Tahoma" w:eastAsia="Times New Roman" w:hAnsi="Tahoma" w:cs="Tahoma"/>
          <w:bCs/>
          <w:sz w:val="20"/>
          <w:szCs w:val="20"/>
          <w:lang w:val="en-US"/>
        </w:rPr>
      </w:pPr>
    </w:p>
    <w:p w:rsidR="003E7C37" w:rsidRPr="003E7C37" w:rsidRDefault="003E7C37" w:rsidP="003E7C37">
      <w:pPr>
        <w:rPr>
          <w:rFonts w:ascii="Tahoma" w:eastAsia="Times New Roman" w:hAnsi="Tahoma" w:cs="Tahoma"/>
          <w:bCs/>
          <w:sz w:val="20"/>
          <w:szCs w:val="20"/>
          <w:lang w:val="en-US"/>
        </w:rPr>
      </w:pPr>
      <w:r w:rsidRPr="003E7C37">
        <w:rPr>
          <w:rFonts w:ascii="Tahoma" w:eastAsia="Times New Roman" w:hAnsi="Tahoma" w:cs="Tahoma"/>
          <w:bCs/>
          <w:sz w:val="20"/>
          <w:szCs w:val="20"/>
          <w:lang w:val="en-US"/>
        </w:rPr>
        <w:t>The fair and equitable sharing of benefits arising out of the utilization of genetic resources, including by appropriate access to them will contribute, it is hoped, to the conservation of biological diversity and the sustainable use of its components. The target therefore aims to monitor cases in which agreement on access to genetic resources and the sharing of benefits derived from their use has been reached.</w:t>
      </w:r>
    </w:p>
    <w:p w:rsidR="003E7C37" w:rsidRPr="003E7C37" w:rsidRDefault="003E7C37" w:rsidP="003E7C37">
      <w:pPr>
        <w:rPr>
          <w:rFonts w:ascii="Tahoma" w:eastAsia="Times New Roman" w:hAnsi="Tahoma" w:cs="Tahoma"/>
          <w:bCs/>
          <w:sz w:val="20"/>
          <w:szCs w:val="20"/>
          <w:lang w:val="en-US"/>
        </w:rPr>
      </w:pPr>
      <w:r w:rsidRPr="003E7C37">
        <w:rPr>
          <w:rFonts w:ascii="Tahoma" w:eastAsia="Times New Roman" w:hAnsi="Tahoma" w:cs="Tahoma"/>
          <w:bCs/>
          <w:sz w:val="20"/>
          <w:szCs w:val="20"/>
          <w:lang w:val="en-US"/>
        </w:rPr>
        <w:t xml:space="preserve">An increase of permits or their equivalents made available to the ABS Clearinghouse and an increase of SMTAs communicated to the Governing Body of the International Treaty will indicate an increased number of cases in which access to genetic resources </w:t>
      </w:r>
      <w:proofErr w:type="gramStart"/>
      <w:r w:rsidRPr="003E7C37">
        <w:rPr>
          <w:rFonts w:ascii="Tahoma" w:eastAsia="Times New Roman" w:hAnsi="Tahoma" w:cs="Tahoma"/>
          <w:bCs/>
          <w:sz w:val="20"/>
          <w:szCs w:val="20"/>
          <w:lang w:val="en-US"/>
        </w:rPr>
        <w:t>has</w:t>
      </w:r>
      <w:proofErr w:type="gramEnd"/>
      <w:r w:rsidRPr="003E7C37">
        <w:rPr>
          <w:rFonts w:ascii="Tahoma" w:eastAsia="Times New Roman" w:hAnsi="Tahoma" w:cs="Tahoma"/>
          <w:bCs/>
          <w:sz w:val="20"/>
          <w:szCs w:val="20"/>
          <w:lang w:val="en-US"/>
        </w:rPr>
        <w:t xml:space="preserve"> been granted and in which resulting benefits will be shared on the basis of “mutually agreed terms”. </w:t>
      </w:r>
    </w:p>
    <w:p w:rsidR="003E7C37" w:rsidRPr="003E7C37" w:rsidRDefault="003E7C37" w:rsidP="003E7C37">
      <w:pPr>
        <w:rPr>
          <w:rFonts w:ascii="Tahoma" w:eastAsia="Times New Roman" w:hAnsi="Tahoma" w:cs="Tahoma"/>
          <w:bCs/>
          <w:sz w:val="20"/>
          <w:szCs w:val="20"/>
          <w:lang w:val="en-US"/>
        </w:rPr>
      </w:pPr>
    </w:p>
    <w:p w:rsidR="003E7C37" w:rsidRPr="003E7C37" w:rsidRDefault="003E7C37" w:rsidP="003E7C37">
      <w:pPr>
        <w:rPr>
          <w:rFonts w:ascii="Tahoma" w:eastAsia="Times New Roman" w:hAnsi="Tahoma" w:cs="Tahoma"/>
          <w:bCs/>
          <w:sz w:val="20"/>
          <w:szCs w:val="20"/>
          <w:lang w:val="en-US"/>
        </w:rPr>
      </w:pPr>
      <w:r w:rsidRPr="003E7C37">
        <w:rPr>
          <w:rFonts w:ascii="Tahoma" w:eastAsia="Times New Roman" w:hAnsi="Tahoma" w:cs="Tahoma"/>
          <w:bCs/>
          <w:sz w:val="20"/>
          <w:szCs w:val="20"/>
          <w:lang w:val="en-US"/>
        </w:rPr>
        <w:t>Measurability: The information the indicator is based on is already being collected under the International Treaty. The ABS Clearinghouse is ready to start collecting permits/ equivalents. However, it should be noted that only recently the Nagoya Protocol entered into force.</w:t>
      </w:r>
    </w:p>
    <w:p w:rsidR="003E7C37" w:rsidRPr="003E7C37" w:rsidRDefault="003E7C37" w:rsidP="003E7C37">
      <w:pPr>
        <w:rPr>
          <w:rFonts w:ascii="Tahoma" w:eastAsia="Times New Roman" w:hAnsi="Tahoma" w:cs="Tahoma"/>
          <w:bCs/>
          <w:sz w:val="20"/>
          <w:szCs w:val="20"/>
          <w:lang w:val="en-US"/>
        </w:rPr>
      </w:pPr>
      <w:r w:rsidRPr="003E7C37">
        <w:rPr>
          <w:rFonts w:ascii="Tahoma" w:eastAsia="Times New Roman" w:hAnsi="Tahoma" w:cs="Tahoma"/>
          <w:bCs/>
          <w:sz w:val="20"/>
          <w:szCs w:val="20"/>
          <w:lang w:val="en-US"/>
        </w:rPr>
        <w:t>Reporting agencies:</w:t>
      </w:r>
    </w:p>
    <w:p w:rsidR="003E7C37" w:rsidRPr="003E7C37" w:rsidRDefault="003E7C37" w:rsidP="003E7C37">
      <w:pPr>
        <w:numPr>
          <w:ilvl w:val="0"/>
          <w:numId w:val="1"/>
        </w:numPr>
        <w:rPr>
          <w:rFonts w:ascii="Tahoma" w:eastAsia="Times New Roman" w:hAnsi="Tahoma" w:cs="Tahoma"/>
          <w:bCs/>
          <w:sz w:val="20"/>
          <w:szCs w:val="20"/>
          <w:lang w:val="en-US"/>
        </w:rPr>
      </w:pPr>
      <w:r w:rsidRPr="003E7C37">
        <w:rPr>
          <w:rFonts w:ascii="Tahoma" w:eastAsia="Times New Roman" w:hAnsi="Tahoma" w:cs="Tahoma"/>
          <w:bCs/>
          <w:sz w:val="20"/>
          <w:szCs w:val="20"/>
          <w:lang w:val="en-US"/>
        </w:rPr>
        <w:t>The CBD Secretariat, through its ABS Clearinghouse, would be responsible for the ABS permits or their equivalents (</w:t>
      </w:r>
      <w:hyperlink r:id="rId8" w:history="1">
        <w:r w:rsidRPr="003E7C37">
          <w:rPr>
            <w:rFonts w:ascii="Tahoma" w:eastAsia="Times New Roman" w:hAnsi="Tahoma" w:cs="Tahoma"/>
            <w:bCs/>
            <w:sz w:val="20"/>
            <w:szCs w:val="20"/>
            <w:lang w:val="en-US"/>
          </w:rPr>
          <w:t>https://absch.cbd.int/</w:t>
        </w:r>
      </w:hyperlink>
      <w:r w:rsidRPr="003E7C37">
        <w:rPr>
          <w:rFonts w:ascii="Tahoma" w:eastAsia="Times New Roman" w:hAnsi="Tahoma" w:cs="Tahoma"/>
          <w:bCs/>
          <w:sz w:val="20"/>
          <w:szCs w:val="20"/>
          <w:lang w:val="en-US"/>
        </w:rPr>
        <w:t>).</w:t>
      </w:r>
    </w:p>
    <w:p w:rsidR="003E7C37" w:rsidRPr="003E7C37" w:rsidRDefault="003E7C37" w:rsidP="003E7C37">
      <w:pPr>
        <w:numPr>
          <w:ilvl w:val="0"/>
          <w:numId w:val="1"/>
        </w:numPr>
        <w:rPr>
          <w:rFonts w:ascii="Tahoma" w:eastAsia="Times New Roman" w:hAnsi="Tahoma" w:cs="Tahoma"/>
          <w:bCs/>
          <w:sz w:val="20"/>
          <w:szCs w:val="20"/>
          <w:lang w:val="en-US"/>
        </w:rPr>
      </w:pPr>
      <w:r w:rsidRPr="003E7C37">
        <w:rPr>
          <w:rFonts w:ascii="Tahoma" w:eastAsia="Times New Roman" w:hAnsi="Tahoma" w:cs="Tahoma"/>
          <w:bCs/>
          <w:sz w:val="20"/>
          <w:szCs w:val="20"/>
          <w:lang w:val="en-US"/>
        </w:rPr>
        <w:lastRenderedPageBreak/>
        <w:t>FAO, through its Secretariat of the International Treaty on Plant Genetic Resources for Food and Agriculture, would track the SMTAs (</w:t>
      </w:r>
      <w:hyperlink r:id="rId9" w:history="1">
        <w:r w:rsidRPr="003E7C37">
          <w:rPr>
            <w:rFonts w:ascii="Tahoma" w:eastAsia="Times New Roman" w:hAnsi="Tahoma" w:cs="Tahoma"/>
            <w:bCs/>
            <w:sz w:val="20"/>
            <w:szCs w:val="20"/>
            <w:lang w:val="en-US"/>
          </w:rPr>
          <w:t>www.planttreaty.org</w:t>
        </w:r>
      </w:hyperlink>
      <w:r w:rsidRPr="003E7C37">
        <w:rPr>
          <w:rFonts w:ascii="Tahoma" w:eastAsia="Times New Roman" w:hAnsi="Tahoma" w:cs="Tahoma"/>
          <w:bCs/>
          <w:sz w:val="20"/>
          <w:szCs w:val="20"/>
          <w:lang w:val="en-US"/>
        </w:rPr>
        <w:t>).</w:t>
      </w:r>
    </w:p>
    <w:p w:rsidR="003E7C37" w:rsidRPr="003E7C37" w:rsidRDefault="003E7C37" w:rsidP="003E7C37">
      <w:pPr>
        <w:rPr>
          <w:rFonts w:ascii="Tahoma" w:eastAsia="Times New Roman" w:hAnsi="Tahoma" w:cs="Tahoma"/>
          <w:bCs/>
          <w:sz w:val="20"/>
          <w:szCs w:val="20"/>
          <w:lang w:val="en-US"/>
        </w:rPr>
      </w:pPr>
    </w:p>
    <w:p w:rsidR="003E7C37" w:rsidRPr="003E7C37" w:rsidRDefault="003E7C37" w:rsidP="003E7C37">
      <w:pPr>
        <w:rPr>
          <w:rFonts w:ascii="Tahoma" w:eastAsia="Times New Roman" w:hAnsi="Tahoma" w:cs="Tahoma"/>
          <w:bCs/>
          <w:sz w:val="20"/>
          <w:szCs w:val="20"/>
          <w:lang w:val="en-US"/>
        </w:rPr>
      </w:pPr>
      <w:r w:rsidRPr="003E7C37">
        <w:rPr>
          <w:rFonts w:ascii="Tahoma" w:eastAsia="Times New Roman" w:hAnsi="Tahoma" w:cs="Tahoma"/>
          <w:bCs/>
          <w:sz w:val="20"/>
          <w:szCs w:val="20"/>
          <w:lang w:val="en-US"/>
        </w:rPr>
        <w:t xml:space="preserve">Reliability, potential coverage, comparability across countries, and the possibility to compute the indicator at sub-national level: In principle, the “permits/ equivalents indicator” will capture all cases of access and benefit-sharing which are covered by ABS laws of countries that are Parties to the Nagoya Protocol. </w:t>
      </w:r>
    </w:p>
    <w:p w:rsidR="003E7C37" w:rsidRPr="003E7C37" w:rsidRDefault="003E7C37" w:rsidP="003E7C37">
      <w:pPr>
        <w:rPr>
          <w:rFonts w:ascii="Tahoma" w:eastAsia="Times New Roman" w:hAnsi="Tahoma" w:cs="Tahoma"/>
          <w:bCs/>
          <w:sz w:val="20"/>
          <w:szCs w:val="20"/>
          <w:lang w:val="en-US"/>
        </w:rPr>
      </w:pPr>
      <w:r w:rsidRPr="003E7C37">
        <w:rPr>
          <w:rFonts w:ascii="Tahoma" w:eastAsia="Times New Roman" w:hAnsi="Tahoma" w:cs="Tahoma"/>
          <w:bCs/>
          <w:sz w:val="20"/>
          <w:szCs w:val="20"/>
          <w:lang w:val="en-US"/>
        </w:rPr>
        <w:t>The SMTA indicator captures all access and benefit-sharing cases relating to material of the Treaty’s Multilateral System of Access and Benefit-sharing. Not all countries will always report all permits / SMTAs. However, as countries become Parties to the International Treaty and the Nagoya Protocol and increasingly comply with their reporting obligations under the two instruments, reliability, coverage and comparability across countries will improve. Sub-national estimates might require additional work.</w:t>
      </w:r>
    </w:p>
    <w:p w:rsidR="0035634B" w:rsidRDefault="0035634B">
      <w:bookmarkStart w:id="1" w:name="_GoBack"/>
      <w:bookmarkEnd w:id="1"/>
    </w:p>
    <w:sectPr w:rsidR="0035634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B3257"/>
    <w:multiLevelType w:val="hybridMultilevel"/>
    <w:tmpl w:val="DA6CE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C37"/>
    <w:rsid w:val="0035634B"/>
    <w:rsid w:val="00374D74"/>
    <w:rsid w:val="003E7C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bsch.cbd.int/" TargetMode="External"/><Relationship Id="rId3" Type="http://schemas.microsoft.com/office/2007/relationships/stylesWithEffects" Target="stylesWithEffects.xml"/><Relationship Id="rId7" Type="http://schemas.openxmlformats.org/officeDocument/2006/relationships/hyperlink" Target="http://www.planttreaty.org/sites/default/files/IT_OWG-EFMLS-2_14_Inf3_en.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bsch.cbd.in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ttreaty.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4963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2015-05-19T19:21:00Z</dcterms:created>
  <dcterms:modified xsi:type="dcterms:W3CDTF">2015-05-19T19:22:00Z</dcterms:modified>
</cp:coreProperties>
</file>